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71B" w:rsidRDefault="0030471B" w:rsidP="0030471B">
      <w:pPr>
        <w:spacing w:line="276" w:lineRule="auto"/>
        <w:jc w:val="both"/>
        <w:rPr>
          <w:b/>
          <w:lang w:val="en-US"/>
        </w:rPr>
      </w:pPr>
      <w:r>
        <w:rPr>
          <w:b/>
          <w:lang/>
        </w:rPr>
        <w:t>ЗДРАВСТВЕНА ЗАШТИТА ПОПУЛАЦИОНИХ ГРУПАЦИЈА</w:t>
      </w:r>
    </w:p>
    <w:p w:rsidR="00950F15" w:rsidRPr="0074161D" w:rsidRDefault="00950F15" w:rsidP="00950F15">
      <w:pPr>
        <w:spacing w:line="276" w:lineRule="auto"/>
        <w:jc w:val="both"/>
        <w:rPr>
          <w:lang w:val="en-US"/>
        </w:rPr>
      </w:pPr>
      <w:r>
        <w:rPr>
          <w:lang/>
        </w:rPr>
        <w:t>Литература</w:t>
      </w:r>
      <w:r>
        <w:t>:</w:t>
      </w:r>
    </w:p>
    <w:p w:rsidR="00950F15" w:rsidRPr="00074ED8" w:rsidRDefault="00950F15" w:rsidP="00950F15">
      <w:pPr>
        <w:numPr>
          <w:ilvl w:val="0"/>
          <w:numId w:val="28"/>
        </w:numPr>
        <w:spacing w:line="276" w:lineRule="auto"/>
        <w:jc w:val="both"/>
      </w:pPr>
      <w:r w:rsidRPr="00074ED8">
        <w:t>Симић С. Социјална медицина. Београд: Медицински факултет Универзитета у Београду, 2012.</w:t>
      </w:r>
    </w:p>
    <w:p w:rsidR="00950F15" w:rsidRPr="00074ED8" w:rsidRDefault="00950F15" w:rsidP="00950F15">
      <w:pPr>
        <w:numPr>
          <w:ilvl w:val="0"/>
          <w:numId w:val="28"/>
        </w:numPr>
        <w:spacing w:line="276" w:lineRule="auto"/>
        <w:jc w:val="both"/>
      </w:pPr>
      <w:r w:rsidRPr="00074ED8">
        <w:t>Цуцић В. Социјална медицина. Београд: Савремена администрација; 2000.</w:t>
      </w:r>
    </w:p>
    <w:p w:rsidR="00950F15" w:rsidRDefault="00950F15" w:rsidP="00950F15">
      <w:pPr>
        <w:numPr>
          <w:ilvl w:val="0"/>
          <w:numId w:val="28"/>
        </w:numPr>
        <w:spacing w:line="276" w:lineRule="auto"/>
        <w:jc w:val="both"/>
      </w:pPr>
      <w:r w:rsidRPr="00074ED8">
        <w:t>Закон о здравственој заштити („Сл. гласник РС", бр.</w:t>
      </w:r>
      <w:r w:rsidRPr="00074ED8">
        <w:rPr>
          <w:i/>
          <w:iCs/>
          <w:color w:val="FFE8BF"/>
        </w:rPr>
        <w:t xml:space="preserve"> </w:t>
      </w:r>
      <w:r w:rsidRPr="00074ED8">
        <w:rPr>
          <w:i/>
          <w:iCs/>
        </w:rPr>
        <w:t>25/2019</w:t>
      </w:r>
      <w:r w:rsidRPr="00074ED8">
        <w:t>)</w:t>
      </w:r>
    </w:p>
    <w:p w:rsidR="0030471B" w:rsidRDefault="0030471B" w:rsidP="0030471B">
      <w:pPr>
        <w:spacing w:line="276" w:lineRule="auto"/>
        <w:jc w:val="both"/>
        <w:rPr>
          <w:b/>
          <w:lang/>
        </w:rPr>
      </w:pP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Рањива (вулнерабилна) популациона група је подгрупа становништва која има ве</w:t>
      </w:r>
      <w:r>
        <w:rPr>
          <w:lang/>
        </w:rPr>
        <w:t>ћ</w:t>
      </w:r>
      <w:r>
        <w:rPr>
          <w:lang/>
        </w:rPr>
        <w:t>у верововатно</w:t>
      </w:r>
      <w:r>
        <w:rPr>
          <w:lang/>
        </w:rPr>
        <w:t>ћ</w:t>
      </w:r>
      <w:r>
        <w:rPr>
          <w:lang/>
        </w:rPr>
        <w:t>у да развије здравствене проблеме као резултат излагања ризику или да има лошије здравствене исходе таквих проблема него становништво у целини. Услед специфичне разлике у односу на доминантну популацију, овим групама је потребна додатна подршка како би се могле равноправно укључити у животне токове заједнице.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Ове групације су бројне, али и различите по узроку који је тај положај проузроковао, као што је сиромаштво, недовољно образовање, незапосленост, избеглиштво, припадност маргинализованим, дискримисаним и социјално изолованим групама, а посебно припадност групи особа са инвалидитетом.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Вулнерабилне/осетљиве/рањиве групе чине скуп особа којима је услед специфичних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разлика потребна додатна подршка а то су: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• Деца до навршених 15. година, школска деца, студенти до краја прописаног школовања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• Жене у вези са планирањем породице, у току трудноће, порођаја и матеронства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• Старији од 65 година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• Ромска популација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• Особе са инвалидитетом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• Лица која болују од болести већег социјалномедицинског значаја: заразне болести (ХИВ/АИДС, хепатитис Б и Ц), малигне болести, дијабетес, ХБИ, мултипла склероза, психозе</w:t>
      </w:r>
    </w:p>
    <w:p w:rsidR="0030471B" w:rsidRDefault="0030471B" w:rsidP="0030471B">
      <w:pPr>
        <w:spacing w:line="276" w:lineRule="auto"/>
        <w:jc w:val="both"/>
        <w:rPr>
          <w:lang/>
        </w:rPr>
      </w:pPr>
      <w:r>
        <w:rPr>
          <w:lang/>
        </w:rPr>
        <w:t>• Незапослени пријављени организацији за запошљавања, корисници сталних новчаних помоћи, ратни војни инвалиди...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Рањивост група различитих од доминантне популације некада је објективна, проистекла из саме природе њихове различитости, а некада је наметнута. Притом се међу припадницима и припадницама рањивих група, не морају сви осећати рањивим. С друге стране, у различитом степену, припаднике и припаднице рањивих група не чини посебно осетљивим то што су различити, већ то што је њихова различитост, уместо да буде прихваћена као таква, путем стереотипа и предрасуда рационализована као непремостива мањкавост.Типично је, наиме да су припадницима и припадницама рањивих група у односу на доминантну популаију теже доступни: и образовање, и посао, и здравствени и културни ресурси, и разни видови подршке социјалне средине.као директна последица ове теже доступности кључних услова самоостваривања развијају се разни видови осујећоности, као што су: финансијска, статусна, социјална, развојна, експресивна. Свака од ових осујећености појединачно подрива здравље људи који су јој изложени.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Здравствени систем има значајну улогу у очувању и унапређењу здравља, као и превенцији болести ових групација и ову улогу треба да реализује кроз чврсто партнерство са другим секторима заједнице, посебно социјалним. Најзначајније активности су: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Препознавање посебних здравствених потреба ових  групација као и њихову повезаност са социјалним потребама и доношење програма за синхронизовано деловање на свим нивоима заједнице;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•</w:t>
      </w:r>
      <w:r>
        <w:rPr>
          <w:lang/>
        </w:rPr>
        <w:tab/>
        <w:t>Повезивање институција примарне здравствене  заштите – дома здравља, са институцијама социјалне  заштите – центрима за социјални рад и развој мултидисциплинарног, тимског рада;</w:t>
      </w:r>
    </w:p>
    <w:p w:rsidR="0030471B" w:rsidRDefault="0030471B" w:rsidP="0030471B">
      <w:pPr>
        <w:spacing w:line="276" w:lineRule="auto"/>
        <w:ind w:firstLine="432"/>
        <w:jc w:val="both"/>
        <w:rPr>
          <w:lang w:val="en-US"/>
        </w:rPr>
      </w:pPr>
      <w:r>
        <w:rPr>
          <w:lang/>
        </w:rPr>
        <w:t>•</w:t>
      </w:r>
      <w:r>
        <w:rPr>
          <w:lang/>
        </w:rPr>
        <w:tab/>
        <w:t>Повезивање институција примарне здравствене  заштите – дома здравља, са образовно –васпитним и другим институцијама.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Циљеви здравствене политике Србије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2. Обезбеђење и унапређење правичног и једнаког  приступа здравственој заштити за све грађане  Србије, као и унапређење здравствене заштите  угрожених популација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2.1. Дефинисање националних циљева за смањење неједнакости у здрављу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  <w:r>
        <w:rPr>
          <w:lang/>
        </w:rPr>
        <w:t>2.2. Унапређење здравствене заштите групација  становништва које су у неповољном положају и због тога посебно осетљиве</w:t>
      </w:r>
    </w:p>
    <w:p w:rsidR="0030471B" w:rsidRDefault="0030471B" w:rsidP="0030471B">
      <w:pPr>
        <w:spacing w:line="276" w:lineRule="auto"/>
        <w:ind w:firstLine="432"/>
        <w:jc w:val="both"/>
        <w:rPr>
          <w:lang/>
        </w:rPr>
      </w:pPr>
    </w:p>
    <w:p w:rsidR="0030471B" w:rsidRDefault="0030471B" w:rsidP="0030471B">
      <w:pPr>
        <w:jc w:val="center"/>
        <w:rPr>
          <w:b/>
          <w:lang/>
        </w:rPr>
      </w:pPr>
    </w:p>
    <w:p w:rsidR="00D079AA" w:rsidRPr="00074FA3" w:rsidRDefault="00D079AA" w:rsidP="00431EE3">
      <w:pPr>
        <w:jc w:val="both"/>
        <w:rPr>
          <w:b/>
        </w:rPr>
      </w:pPr>
      <w:r w:rsidRPr="00074FA3">
        <w:rPr>
          <w:b/>
        </w:rPr>
        <w:t>Здравствена заштита новорођенчади и одојчади</w:t>
      </w:r>
    </w:p>
    <w:p w:rsidR="00D079AA" w:rsidRPr="00431EE3" w:rsidRDefault="00D079AA" w:rsidP="00431EE3">
      <w:pPr>
        <w:jc w:val="both"/>
      </w:pPr>
    </w:p>
    <w:p w:rsidR="00D079AA" w:rsidRPr="00431EE3" w:rsidRDefault="00D079AA" w:rsidP="00431EE3">
      <w:pPr>
        <w:jc w:val="both"/>
        <w:rPr>
          <w:lang/>
        </w:rPr>
      </w:pPr>
      <w:r w:rsidRPr="00431EE3">
        <w:t>Почиње одмах након порођаја а најкасније 6 до 12 сати након рођења.</w:t>
      </w:r>
    </w:p>
    <w:p w:rsidR="00403B00" w:rsidRPr="00431EE3" w:rsidRDefault="00403B00" w:rsidP="00431EE3">
      <w:pPr>
        <w:jc w:val="both"/>
        <w:rPr>
          <w:lang/>
        </w:rPr>
      </w:pPr>
    </w:p>
    <w:p w:rsidR="00D079AA" w:rsidRPr="00431EE3" w:rsidRDefault="00403B00" w:rsidP="00431EE3">
      <w:pPr>
        <w:jc w:val="both"/>
        <w:rPr>
          <w:lang/>
        </w:rPr>
      </w:pPr>
      <w:r w:rsidRPr="00431EE3">
        <w:rPr>
          <w:b/>
        </w:rPr>
        <w:t>Оп</w:t>
      </w:r>
      <w:r w:rsidRPr="00431EE3">
        <w:rPr>
          <w:b/>
          <w:lang/>
        </w:rPr>
        <w:t>ш</w:t>
      </w:r>
      <w:r w:rsidR="00D079AA" w:rsidRPr="00431EE3">
        <w:rPr>
          <w:b/>
        </w:rPr>
        <w:t>ти циљ</w:t>
      </w:r>
      <w:r w:rsidR="00544044" w:rsidRPr="00431EE3">
        <w:t xml:space="preserve"> –очување и унапре</w:t>
      </w:r>
      <w:r w:rsidR="00544044" w:rsidRPr="00431EE3">
        <w:rPr>
          <w:lang/>
        </w:rPr>
        <w:t>ђ</w:t>
      </w:r>
      <w:r w:rsidR="00544044" w:rsidRPr="00431EE3">
        <w:t>ење здравља новоро</w:t>
      </w:r>
      <w:r w:rsidR="00544044" w:rsidRPr="00431EE3">
        <w:rPr>
          <w:lang/>
        </w:rPr>
        <w:t>ђ</w:t>
      </w:r>
      <w:r w:rsidR="00D079AA" w:rsidRPr="00431EE3">
        <w:t>ене деце и смањење стопе перинаталне смрт</w:t>
      </w:r>
      <w:r w:rsidR="00544044" w:rsidRPr="00431EE3">
        <w:t>ности на испод 6,5 на 1 000 ро</w:t>
      </w:r>
      <w:r w:rsidR="00544044" w:rsidRPr="00431EE3">
        <w:rPr>
          <w:lang/>
        </w:rPr>
        <w:t>ђ</w:t>
      </w:r>
      <w:r w:rsidR="00D079AA" w:rsidRPr="00431EE3">
        <w:t>ених односно стопе неонаталне смртности на испод 3 на 1 000 живорођених, односно стопе морталитета одојчад</w:t>
      </w:r>
      <w:r w:rsidRPr="00431EE3">
        <w:t>и испод 4,5 на 1000 живорођених</w:t>
      </w:r>
    </w:p>
    <w:p w:rsidR="00D079AA" w:rsidRPr="00431EE3" w:rsidRDefault="00D079AA" w:rsidP="00431EE3">
      <w:pPr>
        <w:jc w:val="both"/>
        <w:rPr>
          <w:b/>
          <w:lang/>
        </w:rPr>
      </w:pPr>
      <w:r w:rsidRPr="00431EE3">
        <w:rPr>
          <w:b/>
        </w:rPr>
        <w:t>Активности</w:t>
      </w:r>
      <w:r w:rsidR="00403B00" w:rsidRPr="00431EE3">
        <w:rPr>
          <w:b/>
          <w:lang/>
        </w:rPr>
        <w:t>:</w:t>
      </w:r>
    </w:p>
    <w:p w:rsidR="00D079AA" w:rsidRPr="00431EE3" w:rsidRDefault="00403B00" w:rsidP="00431EE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  <w:lang/>
        </w:rPr>
        <w:t>П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роцена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виталности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новорођенчета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Апгару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педијатра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неонатолога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гинеколоско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акушерским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</w:p>
    <w:p w:rsidR="00403B00" w:rsidRPr="00431EE3" w:rsidRDefault="00403B00" w:rsidP="00431EE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31EE3">
        <w:rPr>
          <w:rFonts w:ascii="Times New Roman" w:hAnsi="Times New Roman" w:cs="Times New Roman"/>
          <w:sz w:val="24"/>
          <w:szCs w:val="24"/>
          <w:lang/>
        </w:rPr>
        <w:t>О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безбеђивање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раног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контакта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мајком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подстицање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подоја</w:t>
      </w:r>
      <w:proofErr w:type="spellEnd"/>
    </w:p>
    <w:p w:rsidR="00D079AA" w:rsidRPr="00431EE3" w:rsidRDefault="00403B00" w:rsidP="00431EE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  <w:lang/>
        </w:rPr>
        <w:t>В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акцинација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здраве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новорођенчади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календару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Имунизацује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ТБЦ,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хепатитиса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Б) и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профилактичка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примена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витамина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рођењу</w:t>
      </w:r>
      <w:proofErr w:type="spellEnd"/>
    </w:p>
    <w:p w:rsidR="00D079AA" w:rsidRPr="00431EE3" w:rsidRDefault="00D079AA" w:rsidP="00431EE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Неонатални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конгениталне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хипотиреозе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фенилкетонурије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урођеног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ишчашења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кука</w:t>
      </w:r>
      <w:proofErr w:type="spellEnd"/>
    </w:p>
    <w:p w:rsidR="00D079AA" w:rsidRPr="00431EE3" w:rsidRDefault="00D079AA" w:rsidP="00431EE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Отпуст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здравог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новорођенчета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његове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мајке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72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сата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вагиналног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96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сати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навон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порођаја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довршен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царским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резом</w:t>
      </w:r>
      <w:proofErr w:type="spellEnd"/>
    </w:p>
    <w:p w:rsidR="00D079AA" w:rsidRPr="00431EE3" w:rsidRDefault="00D079AA" w:rsidP="00431EE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Организовање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редовних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превентивних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педијатриских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прегледа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домовима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активност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остварује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систематске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конролне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прегледе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наврсених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1, </w:t>
      </w:r>
      <w:r w:rsidRPr="00431EE3">
        <w:rPr>
          <w:rFonts w:ascii="Times New Roman" w:hAnsi="Times New Roman" w:cs="Times New Roman"/>
          <w:sz w:val="24"/>
          <w:szCs w:val="24"/>
        </w:rPr>
        <w:lastRenderedPageBreak/>
        <w:t xml:space="preserve">2, 3, 5,6, 9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раста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ухрањености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здравственог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раног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откривања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поремећаја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)</w:t>
      </w:r>
    </w:p>
    <w:p w:rsidR="00D079AA" w:rsidRPr="00431EE3" w:rsidRDefault="00074FA3" w:rsidP="00431EE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Спрово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ђ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ење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вакцинације</w:t>
      </w:r>
      <w:proofErr w:type="spellEnd"/>
      <w:r w:rsidR="00D079AA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9AA" w:rsidRPr="00431EE3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403B00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3B00" w:rsidRPr="00431EE3">
        <w:rPr>
          <w:rFonts w:ascii="Times New Roman" w:hAnsi="Times New Roman" w:cs="Times New Roman"/>
          <w:sz w:val="24"/>
          <w:szCs w:val="24"/>
        </w:rPr>
        <w:t>усвојеном</w:t>
      </w:r>
      <w:proofErr w:type="spellEnd"/>
      <w:r w:rsidR="00403B00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3B00" w:rsidRPr="00431EE3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="00403B00"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03B00" w:rsidRPr="00431EE3">
        <w:rPr>
          <w:rFonts w:ascii="Times New Roman" w:hAnsi="Times New Roman" w:cs="Times New Roman"/>
          <w:sz w:val="24"/>
          <w:szCs w:val="24"/>
        </w:rPr>
        <w:t>календару</w:t>
      </w:r>
      <w:proofErr w:type="spellEnd"/>
    </w:p>
    <w:p w:rsidR="00D079AA" w:rsidRPr="00431EE3" w:rsidRDefault="00D079AA" w:rsidP="00431EE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Посебан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акценат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придаје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здравственој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термина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деци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телесном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масом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испод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2 500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грама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.</w:t>
      </w:r>
    </w:p>
    <w:p w:rsidR="00403B00" w:rsidRPr="00431EE3" w:rsidRDefault="00403B00" w:rsidP="00431EE3">
      <w:pPr>
        <w:jc w:val="both"/>
        <w:rPr>
          <w:lang/>
        </w:rPr>
      </w:pPr>
    </w:p>
    <w:p w:rsidR="00403B00" w:rsidRPr="00431EE3" w:rsidRDefault="00D079AA" w:rsidP="00431EE3">
      <w:pPr>
        <w:jc w:val="both"/>
        <w:rPr>
          <w:lang/>
        </w:rPr>
      </w:pPr>
      <w:r w:rsidRPr="00431EE3">
        <w:rPr>
          <w:b/>
        </w:rPr>
        <w:t>Показатељи</w:t>
      </w:r>
      <w:r w:rsidR="00403B00" w:rsidRPr="00431EE3">
        <w:rPr>
          <w:lang/>
        </w:rPr>
        <w:t>:</w:t>
      </w:r>
      <w:r w:rsidRPr="00431EE3">
        <w:t xml:space="preserve"> </w:t>
      </w:r>
    </w:p>
    <w:p w:rsidR="00D079AA" w:rsidRPr="00431EE3" w:rsidRDefault="00D079AA" w:rsidP="00431EE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Морталитет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одојчади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1EE3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перинатална</w:t>
      </w:r>
      <w:proofErr w:type="spellEnd"/>
      <w:proofErr w:type="gram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касна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неонатана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постнеонатална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морталитет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одојчади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Вредност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смртности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одојчади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варира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зависности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земље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земље.У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већини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развијених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земаља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доминира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перинатална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смртност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неразвијеним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постнеонатална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настанак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приписује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дејству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егзогених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.</w:t>
      </w:r>
    </w:p>
    <w:p w:rsidR="00D079AA" w:rsidRPr="00431EE3" w:rsidRDefault="00D079AA" w:rsidP="00431EE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Морбидитет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одојчади</w:t>
      </w:r>
      <w:proofErr w:type="spellEnd"/>
    </w:p>
    <w:p w:rsidR="00CF2831" w:rsidRPr="00431EE3" w:rsidRDefault="00D079AA" w:rsidP="00431EE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Проценат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новорођенчади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телесном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масом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нижом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2 500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грама</w:t>
      </w:r>
      <w:proofErr w:type="spellEnd"/>
    </w:p>
    <w:p w:rsidR="00CF2831" w:rsidRPr="00431EE3" w:rsidRDefault="00CF2831" w:rsidP="00431EE3">
      <w:pPr>
        <w:jc w:val="both"/>
        <w:rPr>
          <w:noProof/>
        </w:rPr>
      </w:pPr>
    </w:p>
    <w:p w:rsidR="00074FA3" w:rsidRDefault="00074FA3" w:rsidP="00431EE3">
      <w:pPr>
        <w:pStyle w:val="ListParagraph"/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</w:pPr>
    </w:p>
    <w:p w:rsidR="00074FA3" w:rsidRDefault="00074FA3" w:rsidP="00431EE3">
      <w:pPr>
        <w:pStyle w:val="ListParagraph"/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</w:pPr>
    </w:p>
    <w:p w:rsidR="00D079AA" w:rsidRPr="00431EE3" w:rsidRDefault="00403B00" w:rsidP="00431EE3">
      <w:pPr>
        <w:pStyle w:val="ListParagraph"/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Latn-CS"/>
        </w:rPr>
        <w:t>ЗДРАВСТВЕНА ЗАШТИТА ПРЕДШКОЛСКЕ ДЕЦЕ</w:t>
      </w:r>
    </w:p>
    <w:p w:rsidR="00D079AA" w:rsidRPr="00431EE3" w:rsidRDefault="00D079AA" w:rsidP="00431EE3">
      <w:pPr>
        <w:pStyle w:val="ListParagraph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</w:p>
    <w:p w:rsidR="00D079AA" w:rsidRPr="00431EE3" w:rsidRDefault="00D079AA" w:rsidP="00431EE3">
      <w:pPr>
        <w:jc w:val="both"/>
        <w:rPr>
          <w:noProof/>
        </w:rPr>
      </w:pPr>
      <w:r w:rsidRPr="00431EE3">
        <w:rPr>
          <w:b/>
          <w:noProof/>
        </w:rPr>
        <w:t xml:space="preserve">Општи циљ – </w:t>
      </w:r>
      <w:r w:rsidRPr="00431EE3">
        <w:rPr>
          <w:noProof/>
        </w:rPr>
        <w:t>очување и унапређење здравља предшколске деце</w:t>
      </w:r>
    </w:p>
    <w:p w:rsidR="00D079AA" w:rsidRPr="00431EE3" w:rsidRDefault="00D079AA" w:rsidP="00431EE3">
      <w:pPr>
        <w:jc w:val="both"/>
        <w:rPr>
          <w:noProof/>
        </w:rPr>
      </w:pPr>
      <w:r w:rsidRPr="00431EE3">
        <w:rPr>
          <w:b/>
          <w:noProof/>
        </w:rPr>
        <w:t>Специфични циљ</w:t>
      </w:r>
      <w:r w:rsidRPr="00431EE3">
        <w:rPr>
          <w:noProof/>
        </w:rPr>
        <w:t xml:space="preserve"> – оспособити родитеље и децу за активан став према здрављу и преузимање одговорности за здравље</w:t>
      </w:r>
    </w:p>
    <w:p w:rsidR="00D079AA" w:rsidRPr="00431EE3" w:rsidRDefault="00D079AA" w:rsidP="00431EE3">
      <w:pPr>
        <w:jc w:val="both"/>
        <w:rPr>
          <w:b/>
          <w:noProof/>
          <w:lang/>
        </w:rPr>
      </w:pPr>
      <w:r w:rsidRPr="00431EE3">
        <w:rPr>
          <w:b/>
          <w:noProof/>
        </w:rPr>
        <w:t>Активности</w:t>
      </w:r>
      <w:r w:rsidR="00403B00" w:rsidRPr="00431EE3">
        <w:rPr>
          <w:b/>
          <w:noProof/>
          <w:lang/>
        </w:rPr>
        <w:t>:</w:t>
      </w:r>
    </w:p>
    <w:p w:rsidR="00D079AA" w:rsidRPr="00431EE3" w:rsidRDefault="00D079AA" w:rsidP="00431EE3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Сачинити Програм васпитања за здравље деце, програм се доноси на националном нивоу, дефинише активности здравствених радника у области васпитања деце са прииоритетним темама – исхрана, физичка активност, имунизација, превенција повређивања, превенција занемаривања и злостављања, здравље уста и зуба</w:t>
      </w:r>
    </w:p>
    <w:p w:rsidR="00D079AA" w:rsidRPr="00431EE3" w:rsidRDefault="00D079AA" w:rsidP="00431EE3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Едуковати здравствене раднике, сараднике и васпитаче који су укључени у бригу о здрављу предшколске деце</w:t>
      </w:r>
    </w:p>
    <w:p w:rsidR="00D079AA" w:rsidRPr="00431EE3" w:rsidRDefault="00D079AA" w:rsidP="00431EE3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Спроводити Програм ва</w:t>
      </w:r>
      <w:r w:rsidR="002F6162" w:rsidRPr="00431EE3">
        <w:rPr>
          <w:rFonts w:ascii="Times New Roman" w:eastAsia="Times New Roman" w:hAnsi="Times New Roman" w:cs="Times New Roman"/>
          <w:noProof/>
          <w:sz w:val="24"/>
          <w:szCs w:val="24"/>
        </w:rPr>
        <w:t>спитања деце кроз индивидуални/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групни здравствено васпитни рад са децом и родитељима</w:t>
      </w:r>
    </w:p>
    <w:p w:rsidR="00D079AA" w:rsidRPr="00431EE3" w:rsidRDefault="00D079AA" w:rsidP="00431EE3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За организовање и спровођење здравствено васпитних активности укључити и мотивисати све важне представнике локалне самоуправе</w:t>
      </w:r>
    </w:p>
    <w:p w:rsidR="00D079AA" w:rsidRPr="00431EE3" w:rsidRDefault="00D079AA" w:rsidP="00431EE3">
      <w:pPr>
        <w:jc w:val="both"/>
        <w:rPr>
          <w:b/>
          <w:noProof/>
        </w:rPr>
      </w:pPr>
      <w:r w:rsidRPr="00431EE3">
        <w:rPr>
          <w:b/>
          <w:noProof/>
        </w:rPr>
        <w:t>Специфични циљ - спречавање и смањивање повреда и тровања</w:t>
      </w:r>
    </w:p>
    <w:p w:rsidR="00D079AA" w:rsidRPr="00431EE3" w:rsidRDefault="00D079AA" w:rsidP="00431EE3">
      <w:pPr>
        <w:pStyle w:val="ListParagraph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Израда Програма за превенцију повређивања деце. Ова активност се спроводи на националном нивоу кроз интерсекторску сарадњу надлежних министарстава – здравство, просвета, саобраћај, просторно планирање, друге владине и невладине организације</w:t>
      </w:r>
    </w:p>
    <w:p w:rsidR="00D079AA" w:rsidRPr="00431EE3" w:rsidRDefault="00D079AA" w:rsidP="00431EE3">
      <w:pPr>
        <w:jc w:val="both"/>
        <w:rPr>
          <w:noProof/>
        </w:rPr>
      </w:pPr>
      <w:r w:rsidRPr="00431EE3">
        <w:rPr>
          <w:b/>
          <w:noProof/>
        </w:rPr>
        <w:t>Специфични циљ</w:t>
      </w:r>
      <w:r w:rsidRPr="00431EE3">
        <w:rPr>
          <w:noProof/>
        </w:rPr>
        <w:t xml:space="preserve"> – Спречавање злостављања и занемаривање мале деце</w:t>
      </w:r>
    </w:p>
    <w:p w:rsidR="00D079AA" w:rsidRPr="00431EE3" w:rsidRDefault="00D079AA" w:rsidP="00431EE3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Влада Републике Србије на предлог Министарства здравља донела је Посебан потокол система здравствене застите деце од злостављања И занемаривања</w:t>
      </w:r>
    </w:p>
    <w:p w:rsidR="00D079AA" w:rsidRPr="00431EE3" w:rsidRDefault="00D079AA" w:rsidP="00431EE3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lastRenderedPageBreak/>
        <w:t>Едукација здравствених радника и сарадника о препознавању свих облика злостављања над децом</w:t>
      </w:r>
    </w:p>
    <w:p w:rsidR="00D079AA" w:rsidRPr="00431EE3" w:rsidRDefault="00D079AA" w:rsidP="00431EE3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Здравствено васпитни рад са ро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д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итељима, ин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дивидуални или групни рад, пове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ћ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ати ниво знања родитеља из области права детета, препознавању симптома злостављања И занемаривања деце (промена по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насања, промене располо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ж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ења И интересо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вања код деце) оспособљавање ве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тинама ненасилне комуникациј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е. Здравствено васпитини рад пр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и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лаго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ђ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ен карактеристикама породи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ног м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иљеа, социјално економским могу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ћ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ностима породице, образовању родитеља.</w:t>
      </w:r>
    </w:p>
    <w:p w:rsidR="00D079AA" w:rsidRPr="00431EE3" w:rsidRDefault="00D079AA" w:rsidP="00431EE3">
      <w:pPr>
        <w:jc w:val="both"/>
        <w:rPr>
          <w:noProof/>
        </w:rPr>
      </w:pPr>
      <w:r w:rsidRPr="00431EE3">
        <w:rPr>
          <w:b/>
          <w:noProof/>
        </w:rPr>
        <w:t>Специфични циљ</w:t>
      </w:r>
      <w:r w:rsidRPr="00431EE3">
        <w:rPr>
          <w:noProof/>
        </w:rPr>
        <w:t xml:space="preserve"> - Праћење раста и развоја, ухрањености, процена здравственог стања и раног откривања поремећаја здравље</w:t>
      </w:r>
    </w:p>
    <w:p w:rsidR="00D079AA" w:rsidRPr="00431EE3" w:rsidRDefault="00D079AA" w:rsidP="00431EE3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Обезбеђивање адекватног праћења и процену нутритивног статуса деце, увођење графикона раста</w:t>
      </w:r>
    </w:p>
    <w:p w:rsidR="00D079AA" w:rsidRPr="00431EE3" w:rsidRDefault="00D079AA" w:rsidP="00431EE3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Спречавати потхрањеност и недостатак нутритијената</w:t>
      </w:r>
    </w:p>
    <w:p w:rsidR="00D079AA" w:rsidRPr="00431EE3" w:rsidRDefault="00D079AA" w:rsidP="00431EE3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Спречавати прекомерну тежину и гојазности</w:t>
      </w:r>
    </w:p>
    <w:p w:rsidR="00D079AA" w:rsidRPr="00431EE3" w:rsidRDefault="00D079AA" w:rsidP="00431EE3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Континуирано спроводити Програм обавезне имунизације, спроводи се у склопу систематских И контролних прегледа,</w:t>
      </w:r>
    </w:p>
    <w:p w:rsidR="00D079AA" w:rsidRPr="00431EE3" w:rsidRDefault="00D079AA" w:rsidP="00431EE3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У службама за здравствену заштиту предшколске деце домова здравља спроводити систематске и контролне педијатриске прегледе ради праћења раста и развоја, ухрањености, процене здравственог стања и раног откривања поремећаја здравља у узрасту 13 - 15 месеци, 18 – 24 месц и у 4 години</w:t>
      </w:r>
    </w:p>
    <w:p w:rsidR="00D079AA" w:rsidRPr="00431EE3" w:rsidRDefault="00D079AA" w:rsidP="00431EE3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Спроводити Национални програм превентивне стоматолошке здравствене заштите</w:t>
      </w:r>
    </w:p>
    <w:p w:rsidR="00D079AA" w:rsidRPr="00431EE3" w:rsidRDefault="00D079AA" w:rsidP="00431EE3">
      <w:pPr>
        <w:jc w:val="both"/>
        <w:rPr>
          <w:noProof/>
        </w:rPr>
      </w:pPr>
      <w:r w:rsidRPr="00431EE3">
        <w:rPr>
          <w:b/>
          <w:noProof/>
        </w:rPr>
        <w:t>Специфични циљ</w:t>
      </w:r>
      <w:r w:rsidRPr="00431EE3">
        <w:rPr>
          <w:noProof/>
        </w:rPr>
        <w:t xml:space="preserve"> – предузимање одговарајућих терапијско рехабилитационих поступака код деце са откривеним поремећајима здравља</w:t>
      </w:r>
    </w:p>
    <w:p w:rsidR="00D079AA" w:rsidRPr="00431EE3" w:rsidRDefault="00D079AA" w:rsidP="00431EE3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Поремећаји вида, слуха, говора, деформитети коштано мишићног система и други поремећаји здравља</w:t>
      </w:r>
    </w:p>
    <w:p w:rsidR="00D079AA" w:rsidRPr="00431EE3" w:rsidRDefault="00D079AA" w:rsidP="00431EE3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У сарадни са здравственим установама секундарног и терцијарног нивоа здравствене заштите спроводити рану дијагностику поремећаја и преузимање лечења деца са сметњама у развоју ( морорни, социјални, емоционални)</w:t>
      </w:r>
    </w:p>
    <w:p w:rsidR="00D079AA" w:rsidRPr="00431EE3" w:rsidRDefault="00D079AA" w:rsidP="00431EE3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Специфични циљ – побољшање приступачности, доступности и коришчење здравствене службе и уједначавање квалитета здравствене заштите деце са села, из сиромашни подручја и осетљивих популација.</w:t>
      </w:r>
    </w:p>
    <w:p w:rsidR="00D079AA" w:rsidRPr="00431EE3" w:rsidRDefault="00D079AA" w:rsidP="00431EE3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Пред полазак у сколу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, систематски преглед који укљу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ује анамнезу, 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физикални преглед, специјалисти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ки преглед орл, офталмолог, физијатар, стоматолог, психолог где се п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р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о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ц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ењује психомоторни развој И емоционална зрелост детета. Л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екар издаје уверење, за упис у 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колу.</w:t>
      </w:r>
    </w:p>
    <w:p w:rsidR="00D079AA" w:rsidRPr="00431EE3" w:rsidRDefault="00D079AA" w:rsidP="00431EE3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Систем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атски преглед у другом полугоди</w:t>
      </w:r>
      <w:r w:rsidR="002B1D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т</w:t>
      </w:r>
      <w:r w:rsidR="002F6162"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у првог разреда са осам година </w:t>
      </w:r>
      <w:r w:rsidR="002F6162" w:rsidRPr="00431EE3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са десет година.</w:t>
      </w:r>
    </w:p>
    <w:p w:rsidR="00D079AA" w:rsidRPr="00431EE3" w:rsidRDefault="00D079AA" w:rsidP="00431EE3">
      <w:pPr>
        <w:jc w:val="both"/>
        <w:rPr>
          <w:b/>
          <w:noProof/>
        </w:rPr>
      </w:pPr>
      <w:r w:rsidRPr="00431EE3">
        <w:rPr>
          <w:b/>
          <w:noProof/>
        </w:rPr>
        <w:lastRenderedPageBreak/>
        <w:t>Показатељи за процену здравственог стања предшколске деце:</w:t>
      </w:r>
    </w:p>
    <w:p w:rsidR="00D079AA" w:rsidRPr="00431EE3" w:rsidRDefault="00D079AA" w:rsidP="00431EE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Мортинаталитет</w:t>
      </w:r>
    </w:p>
    <w:p w:rsidR="00D079AA" w:rsidRPr="00431EE3" w:rsidRDefault="00D079AA" w:rsidP="00431EE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Морталитет деце од 1 до 4 године</w:t>
      </w:r>
    </w:p>
    <w:p w:rsidR="00D079AA" w:rsidRPr="00431EE3" w:rsidRDefault="00D079AA" w:rsidP="00431EE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Морталитет деце до 5 године</w:t>
      </w:r>
    </w:p>
    <w:p w:rsidR="00D079AA" w:rsidRPr="00431EE3" w:rsidRDefault="00D079AA" w:rsidP="00431EE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Пропорционални морталитет деце до 5 године у укупном морталитету</w:t>
      </w:r>
    </w:p>
    <w:p w:rsidR="00CF2831" w:rsidRPr="00074FA3" w:rsidRDefault="00D079AA" w:rsidP="00074FA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Структура морбидитета</w:t>
      </w:r>
    </w:p>
    <w:p w:rsidR="00CF2831" w:rsidRPr="00431EE3" w:rsidRDefault="00CF2831" w:rsidP="00431EE3">
      <w:pPr>
        <w:pStyle w:val="ListParagraph"/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CF2831" w:rsidRPr="00431EE3" w:rsidRDefault="00CF2831" w:rsidP="00431EE3">
      <w:pPr>
        <w:pStyle w:val="ListParagraph"/>
        <w:spacing w:after="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F2831" w:rsidRPr="00431EE3" w:rsidRDefault="00CF2831" w:rsidP="00431EE3">
      <w:pPr>
        <w:jc w:val="both"/>
        <w:rPr>
          <w:noProof/>
        </w:rPr>
      </w:pPr>
      <w:r w:rsidRPr="00431EE3">
        <w:rPr>
          <w:noProof/>
        </w:rPr>
        <w:t>Zdravstvena zaštita dece predškolskog uzrasta ostvaruje se na primarnom, sekundarnom i tercijarnom nivou zdravstvene zaštite.</w:t>
      </w:r>
    </w:p>
    <w:p w:rsidR="00CF2831" w:rsidRPr="00431EE3" w:rsidRDefault="00CF2831" w:rsidP="00431EE3">
      <w:pPr>
        <w:jc w:val="both"/>
        <w:rPr>
          <w:noProof/>
          <w:lang/>
        </w:rPr>
      </w:pPr>
    </w:p>
    <w:p w:rsidR="00CF2831" w:rsidRPr="00431EE3" w:rsidRDefault="00CF2831" w:rsidP="00431EE3">
      <w:pPr>
        <w:jc w:val="both"/>
        <w:rPr>
          <w:noProof/>
        </w:rPr>
      </w:pPr>
      <w:r w:rsidRPr="00431EE3">
        <w:rPr>
          <w:noProof/>
        </w:rPr>
        <w:t xml:space="preserve">Primarni nivo – služba za zdravstvenu zaštitu predškolske dece, Razvojno savetovalište (organizaciono pripada službi zdravstvene zaštite predškolske dece Doma zdravlja, osniva se na onim teritorijama na kojima se nalazi najmanje 8 500 hiljade dece predšolskog uzrasta). Саветовалишним радом се обухватају деца код којих је утврђен ризик по правилан психомоторни раст и развоj. U razvojnom savetovalistu pozivajuci se na pravilnik…..rade pedijatar, pedagog, psiholog, socijalmi radnik, medicinske sestre. </w:t>
      </w:r>
    </w:p>
    <w:p w:rsidR="00CF2831" w:rsidRPr="00431EE3" w:rsidRDefault="00CF2831" w:rsidP="00431EE3">
      <w:pPr>
        <w:jc w:val="both"/>
        <w:rPr>
          <w:noProof/>
          <w:lang/>
        </w:rPr>
      </w:pPr>
    </w:p>
    <w:p w:rsidR="00544044" w:rsidRPr="00431EE3" w:rsidRDefault="00544044" w:rsidP="00431EE3">
      <w:pPr>
        <w:jc w:val="both"/>
        <w:rPr>
          <w:noProof/>
        </w:rPr>
      </w:pPr>
      <w:r w:rsidRPr="00431EE3">
        <w:rPr>
          <w:noProof/>
        </w:rPr>
        <w:t>Секундарни и терцијарни ниво – клинике, центри и одељења за педијатрију И посебно специјализоване установе за децу И омладину</w:t>
      </w:r>
    </w:p>
    <w:p w:rsidR="00544044" w:rsidRPr="00431EE3" w:rsidRDefault="00544044" w:rsidP="00431EE3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Клиника за неурологију и психијатрију за децу и омладину</w:t>
      </w:r>
    </w:p>
    <w:p w:rsidR="00544044" w:rsidRPr="00431EE3" w:rsidRDefault="00544044" w:rsidP="00431EE3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Институт за здравствену заштиту мајке и детета Србије "Др Вукан Чупић"</w:t>
      </w:r>
    </w:p>
    <w:p w:rsidR="00544044" w:rsidRPr="00431EE3" w:rsidRDefault="00544044" w:rsidP="00431EE3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Универзитетска дечја клиника – Тиршова</w:t>
      </w:r>
    </w:p>
    <w:p w:rsidR="00544044" w:rsidRPr="00431EE3" w:rsidRDefault="00544044" w:rsidP="00431EE3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Институт за неонатологију</w:t>
      </w:r>
    </w:p>
    <w:p w:rsidR="00CF2831" w:rsidRPr="00431EE3" w:rsidRDefault="00544044" w:rsidP="00431EE3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</w:rPr>
        <w:t>Институт за здравствену заштиту деце и омладине (Војводина)</w:t>
      </w:r>
    </w:p>
    <w:p w:rsidR="00CF2831" w:rsidRPr="00431EE3" w:rsidRDefault="00CF2831" w:rsidP="00431EE3">
      <w:pPr>
        <w:pStyle w:val="ListParagraph"/>
        <w:spacing w:after="0"/>
        <w:ind w:left="1440"/>
        <w:jc w:val="center"/>
        <w:rPr>
          <w:rFonts w:ascii="Times New Roman" w:hAnsi="Times New Roman" w:cs="Times New Roman"/>
          <w:sz w:val="24"/>
          <w:szCs w:val="24"/>
        </w:rPr>
      </w:pPr>
    </w:p>
    <w:p w:rsidR="00CF2831" w:rsidRDefault="00544044" w:rsidP="00431EE3">
      <w:pPr>
        <w:pStyle w:val="ListParagraph"/>
        <w:spacing w:after="0"/>
        <w:ind w:left="144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31EE3">
        <w:rPr>
          <w:rFonts w:ascii="Times New Roman" w:hAnsi="Times New Roman" w:cs="Times New Roman"/>
          <w:b/>
          <w:sz w:val="24"/>
          <w:szCs w:val="24"/>
          <w:lang/>
        </w:rPr>
        <w:t>Социјална заштита деце и омладине</w:t>
      </w:r>
    </w:p>
    <w:p w:rsidR="00B72DE2" w:rsidRPr="00431EE3" w:rsidRDefault="00B72DE2" w:rsidP="00431EE3">
      <w:pPr>
        <w:pStyle w:val="ListParagraph"/>
        <w:spacing w:after="0"/>
        <w:ind w:left="144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544044" w:rsidRPr="00431EE3" w:rsidRDefault="00544044" w:rsidP="00431EE3">
      <w:pPr>
        <w:jc w:val="both"/>
      </w:pPr>
      <w:r w:rsidRPr="00431EE3">
        <w:t xml:space="preserve">Установе за децу и омладину, обезбеђују привремени или стални смештај, исхрану, негу, здравствену заштиту, васпитавање, образовање </w:t>
      </w:r>
      <w:r w:rsidRPr="00431EE3">
        <w:rPr>
          <w:lang/>
        </w:rPr>
        <w:t>и</w:t>
      </w:r>
      <w:r w:rsidRPr="00431EE3">
        <w:t xml:space="preserve"> стручно оспособљавање.</w:t>
      </w:r>
    </w:p>
    <w:p w:rsidR="00544044" w:rsidRPr="00431EE3" w:rsidRDefault="00544044" w:rsidP="00431EE3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Домови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децу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044" w:rsidRPr="00431EE3" w:rsidRDefault="00544044" w:rsidP="00431EE3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децу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ометене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</w:p>
    <w:p w:rsidR="00CF2831" w:rsidRPr="00431EE3" w:rsidRDefault="00544044" w:rsidP="00431EE3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Заводи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васпитање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младих</w:t>
      </w:r>
      <w:proofErr w:type="spellEnd"/>
    </w:p>
    <w:p w:rsidR="00544044" w:rsidRPr="00074FA3" w:rsidRDefault="00544044" w:rsidP="00074FA3">
      <w:pPr>
        <w:rPr>
          <w:b/>
          <w:noProof/>
          <w:lang/>
        </w:rPr>
      </w:pPr>
    </w:p>
    <w:p w:rsidR="002F6162" w:rsidRPr="00431EE3" w:rsidRDefault="002F6162" w:rsidP="00431EE3">
      <w:pPr>
        <w:jc w:val="both"/>
        <w:rPr>
          <w:lang/>
        </w:rPr>
      </w:pPr>
    </w:p>
    <w:p w:rsidR="00431EE3" w:rsidRPr="00431EE3" w:rsidRDefault="00431EE3" w:rsidP="00431EE3">
      <w:pPr>
        <w:jc w:val="both"/>
        <w:rPr>
          <w:lang/>
        </w:rPr>
      </w:pPr>
    </w:p>
    <w:p w:rsidR="00A22E9B" w:rsidRPr="00431EE3" w:rsidRDefault="00A22E9B" w:rsidP="00A22E9B">
      <w:pPr>
        <w:pStyle w:val="ListParagraph"/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</w:pPr>
      <w:r w:rsidRPr="00431EE3"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  <w:t>ШКОЛСКА ДЕЦА И ОМЛАДИНА</w:t>
      </w:r>
    </w:p>
    <w:p w:rsidR="00A22E9B" w:rsidRPr="00431EE3" w:rsidRDefault="00A22E9B" w:rsidP="00A22E9B">
      <w:pPr>
        <w:pStyle w:val="ListParagraph"/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</w:p>
    <w:p w:rsidR="00A22E9B" w:rsidRPr="00431EE3" w:rsidRDefault="00A22E9B" w:rsidP="00A22E9B">
      <w:pPr>
        <w:jc w:val="both"/>
        <w:rPr>
          <w:noProof/>
          <w:lang/>
        </w:rPr>
      </w:pPr>
      <w:r w:rsidRPr="00431EE3">
        <w:rPr>
          <w:noProof/>
          <w:lang/>
        </w:rPr>
        <w:t>Функционално старосни контингент од 7 до 14 године сматрају се деца школског узраста.</w:t>
      </w:r>
    </w:p>
    <w:p w:rsidR="00A22E9B" w:rsidRPr="00431EE3" w:rsidRDefault="00A22E9B" w:rsidP="00A22E9B">
      <w:pPr>
        <w:jc w:val="both"/>
        <w:rPr>
          <w:noProof/>
          <w:lang/>
        </w:rPr>
      </w:pPr>
      <w:r w:rsidRPr="00431EE3">
        <w:rPr>
          <w:noProof/>
          <w:lang/>
        </w:rPr>
        <w:t>Од 15 до 19 припадају млади</w:t>
      </w:r>
      <w:r w:rsidRPr="00431EE3">
        <w:rPr>
          <w:noProof/>
          <w:lang/>
        </w:rPr>
        <w:t>.</w:t>
      </w:r>
    </w:p>
    <w:p w:rsidR="00A22E9B" w:rsidRPr="00431EE3" w:rsidRDefault="00A22E9B" w:rsidP="00A22E9B">
      <w:pPr>
        <w:jc w:val="both"/>
        <w:rPr>
          <w:noProof/>
          <w:lang/>
        </w:rPr>
      </w:pPr>
    </w:p>
    <w:p w:rsidR="00A22E9B" w:rsidRPr="00431EE3" w:rsidRDefault="00A22E9B" w:rsidP="00A22E9B">
      <w:pPr>
        <w:jc w:val="both"/>
        <w:rPr>
          <w:noProof/>
          <w:lang/>
        </w:rPr>
      </w:pPr>
      <w:r>
        <w:rPr>
          <w:noProof/>
          <w:lang/>
        </w:rPr>
        <w:t>У раздобљу изме</w:t>
      </w:r>
      <w:r>
        <w:rPr>
          <w:noProof/>
          <w:lang/>
        </w:rPr>
        <w:t>ђ</w:t>
      </w:r>
      <w:r>
        <w:rPr>
          <w:noProof/>
          <w:lang/>
        </w:rPr>
        <w:t>у поласка у школу и</w:t>
      </w:r>
      <w:r w:rsidRPr="00431EE3">
        <w:rPr>
          <w:noProof/>
          <w:lang/>
        </w:rPr>
        <w:t xml:space="preserve"> завршетка средње школе одвијају се</w:t>
      </w:r>
      <w:r w:rsidRPr="00431EE3">
        <w:rPr>
          <w:noProof/>
          <w:lang/>
        </w:rPr>
        <w:t xml:space="preserve"> </w:t>
      </w:r>
      <w:r w:rsidRPr="00431EE3">
        <w:rPr>
          <w:noProof/>
          <w:lang/>
        </w:rPr>
        <w:t>процеси раста</w:t>
      </w:r>
    </w:p>
    <w:p w:rsidR="00A22E9B" w:rsidRPr="00431EE3" w:rsidRDefault="00A22E9B" w:rsidP="00A22E9B">
      <w:pPr>
        <w:pStyle w:val="ListParagraph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• психичко и физичко сазревање,</w:t>
      </w:r>
    </w:p>
    <w:p w:rsidR="00A22E9B" w:rsidRPr="00431EE3" w:rsidRDefault="00A22E9B" w:rsidP="00A22E9B">
      <w:pPr>
        <w:pStyle w:val="ListParagraph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lastRenderedPageBreak/>
        <w:t>• социјализација,</w:t>
      </w:r>
    </w:p>
    <w:p w:rsidR="00A22E9B" w:rsidRPr="00431EE3" w:rsidRDefault="00A22E9B" w:rsidP="00A22E9B">
      <w:pPr>
        <w:pStyle w:val="ListParagraph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• васпитање и школовање,</w:t>
      </w:r>
    </w:p>
    <w:p w:rsidR="00A22E9B" w:rsidRPr="00431EE3" w:rsidRDefault="00A22E9B" w:rsidP="00A22E9B">
      <w:pPr>
        <w:pStyle w:val="ListParagraph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• припрема за укључивање у радни процес или даљи наставак образовања</w:t>
      </w:r>
    </w:p>
    <w:p w:rsidR="00A22E9B" w:rsidRPr="00431EE3" w:rsidRDefault="00A22E9B" w:rsidP="00A22E9B">
      <w:pPr>
        <w:jc w:val="both"/>
        <w:rPr>
          <w:noProof/>
          <w:lang/>
        </w:rPr>
      </w:pPr>
      <w:r w:rsidRPr="00431EE3">
        <w:rPr>
          <w:b/>
          <w:noProof/>
          <w:lang/>
        </w:rPr>
        <w:t>Оп</w:t>
      </w:r>
      <w:r w:rsidRPr="00431EE3">
        <w:rPr>
          <w:b/>
          <w:noProof/>
          <w:lang/>
        </w:rPr>
        <w:t>ш</w:t>
      </w:r>
      <w:r w:rsidRPr="00431EE3">
        <w:rPr>
          <w:b/>
          <w:noProof/>
          <w:lang/>
        </w:rPr>
        <w:t>ти циљ</w:t>
      </w:r>
      <w:r w:rsidRPr="00431EE3">
        <w:rPr>
          <w:noProof/>
          <w:lang/>
        </w:rPr>
        <w:t xml:space="preserve"> – о</w:t>
      </w:r>
      <w:r w:rsidRPr="00431EE3">
        <w:rPr>
          <w:noProof/>
          <w:lang/>
        </w:rPr>
        <w:t>ч</w:t>
      </w:r>
      <w:r w:rsidRPr="00431EE3">
        <w:rPr>
          <w:noProof/>
          <w:lang/>
        </w:rPr>
        <w:t xml:space="preserve">ување </w:t>
      </w:r>
      <w:r w:rsidRPr="00431EE3">
        <w:rPr>
          <w:noProof/>
          <w:lang/>
        </w:rPr>
        <w:t>и</w:t>
      </w:r>
      <w:r w:rsidRPr="00431EE3">
        <w:rPr>
          <w:noProof/>
          <w:lang/>
        </w:rPr>
        <w:t xml:space="preserve"> унапре</w:t>
      </w:r>
      <w:r w:rsidRPr="00431EE3">
        <w:rPr>
          <w:noProof/>
          <w:lang/>
        </w:rPr>
        <w:t>ђ</w:t>
      </w:r>
      <w:r w:rsidRPr="00431EE3">
        <w:rPr>
          <w:noProof/>
          <w:lang/>
        </w:rPr>
        <w:t xml:space="preserve">ење здравља </w:t>
      </w:r>
      <w:r w:rsidRPr="00431EE3">
        <w:rPr>
          <w:noProof/>
          <w:lang/>
        </w:rPr>
        <w:t>шк</w:t>
      </w:r>
      <w:r w:rsidRPr="00431EE3">
        <w:rPr>
          <w:noProof/>
          <w:lang/>
        </w:rPr>
        <w:t>олске де</w:t>
      </w:r>
      <w:r w:rsidRPr="00431EE3">
        <w:rPr>
          <w:noProof/>
          <w:lang/>
        </w:rPr>
        <w:t>ц</w:t>
      </w:r>
      <w:r w:rsidRPr="00431EE3">
        <w:rPr>
          <w:noProof/>
          <w:lang/>
        </w:rPr>
        <w:t xml:space="preserve">е </w:t>
      </w:r>
      <w:r w:rsidRPr="00431EE3">
        <w:rPr>
          <w:noProof/>
          <w:lang/>
        </w:rPr>
        <w:t>и</w:t>
      </w:r>
      <w:r w:rsidRPr="00431EE3">
        <w:rPr>
          <w:noProof/>
          <w:lang/>
        </w:rPr>
        <w:t xml:space="preserve"> омладине</w:t>
      </w:r>
    </w:p>
    <w:p w:rsidR="00A22E9B" w:rsidRPr="00431EE3" w:rsidRDefault="00A22E9B" w:rsidP="00A22E9B">
      <w:pPr>
        <w:jc w:val="both"/>
        <w:rPr>
          <w:noProof/>
          <w:lang/>
        </w:rPr>
      </w:pPr>
      <w:r w:rsidRPr="00431EE3">
        <w:rPr>
          <w:b/>
          <w:noProof/>
          <w:lang/>
        </w:rPr>
        <w:t>Специфицни циљ1</w:t>
      </w:r>
      <w:r w:rsidRPr="00431EE3">
        <w:rPr>
          <w:noProof/>
          <w:lang/>
        </w:rPr>
        <w:t xml:space="preserve">. – </w:t>
      </w:r>
      <w:r w:rsidRPr="004F5E1C">
        <w:rPr>
          <w:noProof/>
          <w:u w:val="single"/>
          <w:lang/>
        </w:rPr>
        <w:t xml:space="preserve">Усвајање здравих стилова </w:t>
      </w:r>
      <w:r>
        <w:rPr>
          <w:noProof/>
          <w:u w:val="single"/>
          <w:lang/>
        </w:rPr>
        <w:t>ж</w:t>
      </w:r>
      <w:r w:rsidRPr="004F5E1C">
        <w:rPr>
          <w:noProof/>
          <w:u w:val="single"/>
          <w:lang/>
        </w:rPr>
        <w:t xml:space="preserve">ивота код </w:t>
      </w:r>
      <w:r w:rsidRPr="004F5E1C">
        <w:rPr>
          <w:noProof/>
          <w:u w:val="single"/>
          <w:lang/>
        </w:rPr>
        <w:t>ш</w:t>
      </w:r>
      <w:r w:rsidRPr="004F5E1C">
        <w:rPr>
          <w:noProof/>
          <w:u w:val="single"/>
          <w:lang/>
        </w:rPr>
        <w:t xml:space="preserve">колске деце </w:t>
      </w:r>
      <w:r w:rsidRPr="004F5E1C">
        <w:rPr>
          <w:noProof/>
          <w:u w:val="single"/>
          <w:lang/>
        </w:rPr>
        <w:t>и</w:t>
      </w:r>
      <w:r w:rsidRPr="004F5E1C">
        <w:rPr>
          <w:noProof/>
          <w:u w:val="single"/>
          <w:lang/>
        </w:rPr>
        <w:t xml:space="preserve"> омладине</w:t>
      </w:r>
    </w:p>
    <w:p w:rsidR="00A22E9B" w:rsidRPr="00431EE3" w:rsidRDefault="00A22E9B" w:rsidP="00A22E9B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Израда Програма промоције здравља адолесцената, Доноси се на националном нивоу,</w:t>
      </w:r>
    </w:p>
    <w:p w:rsidR="00A22E9B" w:rsidRPr="00431EE3" w:rsidRDefault="00A22E9B" w:rsidP="00A22E9B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Дефини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у се активности здравствених радника у области промоције здравља адолесцен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ата, са приоритетним темама, оп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та 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лична хигијена, здрава 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уравнотежена 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исхрана, превенција гојазности 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малнутриције, ф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изичка активност, здравље уста 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зуба, репродуктивно здравље, ментално здравље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(контрола стреса), превенција употребе дувана, алкохола, психоактиних супстанци, пре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венција повређивања И тровања, 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з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остављање, 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з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анемаривање адолесцената, насеља међу адолесцентима</w:t>
      </w:r>
    </w:p>
    <w:p w:rsidR="00A22E9B" w:rsidRPr="00431EE3" w:rsidRDefault="00A22E9B" w:rsidP="00A22E9B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Здравствено васпитни рад са аолесцентима, по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себно са осетљивим групама али </w:t>
      </w:r>
      <w:r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са родитељима. Здраве навике И спре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авање ризи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ног пона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ања. Вулнерабилне групе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ине млади који никада нису поха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ђ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али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колу, који нису наставили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коловање после основне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коле, они који су напустили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колу, са фи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зич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ким или менталним инвалидитетом који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ж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иве у сирома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тву, Роми, избеглице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..</w:t>
      </w:r>
    </w:p>
    <w:p w:rsidR="00A22E9B" w:rsidRPr="00431EE3" w:rsidRDefault="00A22E9B" w:rsidP="00A22E9B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Систематски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контолни прегледи, ради праћења раста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ра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з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воја, процене здравственог стања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раног откривања поремећаја здравља. Систематским прегледом обухватити најмање 95% адолесцената одговарајућег у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з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раста. Прегледи се обављају 12,14,16,18 година.</w:t>
      </w:r>
    </w:p>
    <w:p w:rsidR="00A22E9B" w:rsidRPr="00431EE3" w:rsidRDefault="00A22E9B" w:rsidP="00A22E9B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Саветовалишни рад у циљу о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увања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унапређења здравља адолесцената, уколико има најмање 7000 деце старости од 10 до 18 годин.</w:t>
      </w:r>
    </w:p>
    <w:p w:rsidR="00A22E9B" w:rsidRPr="00431EE3" w:rsidRDefault="00A22E9B" w:rsidP="00A22E9B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Превенција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зараз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них болести кро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з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вакцинацију спроводити према Правилнику о имунизацији</w:t>
      </w:r>
    </w:p>
    <w:p w:rsidR="00A22E9B" w:rsidRPr="00431EE3" w:rsidRDefault="00A22E9B" w:rsidP="00A22E9B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О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ч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ување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унапређење здравља уста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зуба спроводити кроз Национални програм превентивне стоматоло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ке здравствене за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ш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тите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.</w:t>
      </w:r>
    </w:p>
    <w:p w:rsidR="00A22E9B" w:rsidRPr="00431EE3" w:rsidRDefault="00A22E9B" w:rsidP="00A22E9B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/>
        </w:rPr>
      </w:pP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Хигијенско санитарни надзор у школама, домовима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 xml:space="preserve"> другим установама у којима</w:t>
      </w:r>
      <w:r w:rsidRPr="00431EE3">
        <w:rPr>
          <w:rFonts w:ascii="Times New Roman" w:hAnsi="Times New Roman" w:cs="Times New Roman"/>
          <w:noProof/>
          <w:sz w:val="24"/>
          <w:szCs w:val="24"/>
          <w:lang/>
        </w:rPr>
        <w:t xml:space="preserve"> 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живе адолесценти</w:t>
      </w:r>
      <w:r w:rsidRPr="00431EE3">
        <w:rPr>
          <w:rFonts w:ascii="Times New Roman" w:eastAsia="Times New Roman" w:hAnsi="Times New Roman" w:cs="Times New Roman"/>
          <w:noProof/>
          <w:sz w:val="24"/>
          <w:szCs w:val="24"/>
          <w:lang/>
        </w:rPr>
        <w:t>.</w:t>
      </w:r>
    </w:p>
    <w:p w:rsidR="00A22E9B" w:rsidRPr="00431EE3" w:rsidRDefault="00A22E9B" w:rsidP="00A22E9B">
      <w:pPr>
        <w:jc w:val="both"/>
        <w:rPr>
          <w:lang/>
        </w:rPr>
      </w:pPr>
      <w:r w:rsidRPr="00431EE3">
        <w:rPr>
          <w:b/>
        </w:rPr>
        <w:t>Специфицни циљ 2</w:t>
      </w:r>
      <w:r w:rsidRPr="00431EE3">
        <w:t xml:space="preserve"> - </w:t>
      </w:r>
      <w:r w:rsidRPr="004F5E1C">
        <w:rPr>
          <w:u w:val="single"/>
        </w:rPr>
        <w:t xml:space="preserve">Превенција </w:t>
      </w:r>
      <w:r w:rsidRPr="004F5E1C">
        <w:rPr>
          <w:u w:val="single"/>
          <w:lang/>
        </w:rPr>
        <w:t>и</w:t>
      </w:r>
      <w:r w:rsidRPr="004F5E1C">
        <w:rPr>
          <w:u w:val="single"/>
        </w:rPr>
        <w:t xml:space="preserve"> лечење гојазности </w:t>
      </w:r>
      <w:r w:rsidRPr="004F5E1C">
        <w:rPr>
          <w:u w:val="single"/>
          <w:lang/>
        </w:rPr>
        <w:t>и</w:t>
      </w:r>
      <w:r w:rsidRPr="004F5E1C">
        <w:rPr>
          <w:u w:val="single"/>
        </w:rPr>
        <w:t xml:space="preserve"> поремећаја исхране</w:t>
      </w:r>
    </w:p>
    <w:p w:rsidR="00A22E9B" w:rsidRPr="00431EE3" w:rsidRDefault="00A22E9B" w:rsidP="00A22E9B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Редовно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праћене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телесне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масе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телесне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БМИ.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Споводе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саветодавни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разговори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правилном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исхраном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1EE3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избалансирана</w:t>
      </w:r>
      <w:proofErr w:type="spellEnd"/>
      <w:proofErr w:type="gram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исхрана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макро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нутритијената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5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дневних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оброка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главна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ужине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2E9B" w:rsidRPr="00431EE3" w:rsidRDefault="00A22E9B" w:rsidP="00A22E9B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Промовисање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физичке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активност</w:t>
      </w:r>
      <w:proofErr w:type="spellEnd"/>
    </w:p>
    <w:p w:rsidR="00A22E9B" w:rsidRPr="00431EE3" w:rsidRDefault="00A22E9B" w:rsidP="00A22E9B">
      <w:pPr>
        <w:jc w:val="both"/>
        <w:rPr>
          <w:lang/>
        </w:rPr>
      </w:pPr>
      <w:r w:rsidRPr="00431EE3">
        <w:rPr>
          <w:b/>
        </w:rPr>
        <w:t>Специфичан циљ 3</w:t>
      </w:r>
      <w:r w:rsidRPr="00431EE3">
        <w:t xml:space="preserve"> – </w:t>
      </w:r>
      <w:r w:rsidRPr="004F5E1C">
        <w:rPr>
          <w:u w:val="single"/>
        </w:rPr>
        <w:t xml:space="preserve">очување </w:t>
      </w:r>
      <w:r w:rsidRPr="004F5E1C">
        <w:rPr>
          <w:u w:val="single"/>
          <w:lang/>
        </w:rPr>
        <w:t>и</w:t>
      </w:r>
      <w:r w:rsidRPr="004F5E1C">
        <w:rPr>
          <w:u w:val="single"/>
        </w:rPr>
        <w:t xml:space="preserve"> унапређење репродуктивмог здравља адолесцената</w:t>
      </w:r>
    </w:p>
    <w:p w:rsidR="00A22E9B" w:rsidRPr="00431EE3" w:rsidRDefault="00A22E9B" w:rsidP="00A22E9B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Едукација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адолесцената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безбедно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одговорно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сексуално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1EE3">
        <w:rPr>
          <w:rFonts w:ascii="Times New Roman" w:hAnsi="Times New Roman" w:cs="Times New Roman"/>
          <w:sz w:val="24"/>
          <w:szCs w:val="24"/>
        </w:rPr>
        <w:t>понашање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подразумева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пружање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информација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усвајање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анатомији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физиологији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репродуктивних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партнерским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односима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о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застите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lastRenderedPageBreak/>
        <w:t>контрацепцији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непланираној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трудноћи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полно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преносивим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болестима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добровољно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поверљиво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тестирање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ХИВ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адолесценте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оба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пола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.</w:t>
      </w:r>
    </w:p>
    <w:p w:rsidR="00A22E9B" w:rsidRPr="004F5E1C" w:rsidRDefault="00A22E9B" w:rsidP="00A22E9B">
      <w:pPr>
        <w:jc w:val="both"/>
        <w:rPr>
          <w:u w:val="single"/>
          <w:lang/>
        </w:rPr>
      </w:pPr>
      <w:r w:rsidRPr="00431EE3">
        <w:rPr>
          <w:b/>
        </w:rPr>
        <w:t>Специфичан циљ 4</w:t>
      </w:r>
      <w:r w:rsidRPr="00431EE3">
        <w:t xml:space="preserve"> – </w:t>
      </w:r>
      <w:r w:rsidRPr="004F5E1C">
        <w:rPr>
          <w:u w:val="single"/>
        </w:rPr>
        <w:t>Превенција употребе и злоупотребе дувана, алкохола,</w:t>
      </w:r>
      <w:r w:rsidRPr="004F5E1C">
        <w:rPr>
          <w:u w:val="single"/>
          <w:lang/>
        </w:rPr>
        <w:t xml:space="preserve"> </w:t>
      </w:r>
      <w:r w:rsidRPr="004F5E1C">
        <w:rPr>
          <w:u w:val="single"/>
        </w:rPr>
        <w:t>психоактивних супастанци</w:t>
      </w:r>
    </w:p>
    <w:p w:rsidR="00A22E9B" w:rsidRPr="00431EE3" w:rsidRDefault="00A22E9B" w:rsidP="00A22E9B">
      <w:pPr>
        <w:jc w:val="both"/>
        <w:rPr>
          <w:lang/>
        </w:rPr>
      </w:pPr>
      <w:r w:rsidRPr="00431EE3">
        <w:rPr>
          <w:b/>
        </w:rPr>
        <w:t>Специфичан циљ 5</w:t>
      </w:r>
      <w:r w:rsidRPr="00431EE3">
        <w:t xml:space="preserve"> </w:t>
      </w:r>
      <w:r w:rsidRPr="004F5E1C">
        <w:rPr>
          <w:u w:val="single"/>
        </w:rPr>
        <w:t>– Рано откривање проблема менталног здравља код адолесцената и адекватно збрињавање адолесцената са проблемима менталноог здравља</w:t>
      </w:r>
    </w:p>
    <w:p w:rsidR="00A22E9B" w:rsidRPr="004F5E1C" w:rsidRDefault="00A22E9B" w:rsidP="00A22E9B">
      <w:pPr>
        <w:jc w:val="both"/>
        <w:rPr>
          <w:u w:val="single"/>
          <w:lang/>
        </w:rPr>
      </w:pPr>
      <w:r w:rsidRPr="00431EE3">
        <w:rPr>
          <w:b/>
        </w:rPr>
        <w:t>Специфичан циљ 6</w:t>
      </w:r>
      <w:r w:rsidRPr="00431EE3">
        <w:t xml:space="preserve"> – </w:t>
      </w:r>
      <w:r w:rsidRPr="004F5E1C">
        <w:rPr>
          <w:u w:val="single"/>
        </w:rPr>
        <w:t xml:space="preserve">Превенција злостављања и yанемаривања, повредјивања и трованаја, превенција насиља. </w:t>
      </w:r>
    </w:p>
    <w:p w:rsidR="00431EE3" w:rsidRPr="00431EE3" w:rsidRDefault="00A22E9B" w:rsidP="00A22E9B">
      <w:pPr>
        <w:jc w:val="both"/>
        <w:rPr>
          <w:lang/>
        </w:rPr>
      </w:pPr>
      <w:r w:rsidRPr="00431EE3">
        <w:rPr>
          <w:b/>
        </w:rPr>
        <w:t>Специфични циљ 7</w:t>
      </w:r>
      <w:r w:rsidRPr="00431EE3">
        <w:t xml:space="preserve"> – побољшање приступачности, доступности и коришчење здравствене службе и уједначавање квалитета здравствене заштите деце са села, из сиромашни подручја и осетљивих популација.</w:t>
      </w:r>
      <w:bookmarkStart w:id="0" w:name="_GoBack"/>
      <w:bookmarkEnd w:id="0"/>
    </w:p>
    <w:sectPr w:rsidR="00431EE3" w:rsidRPr="00431EE3" w:rsidSect="00041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3A60"/>
    <w:multiLevelType w:val="hybridMultilevel"/>
    <w:tmpl w:val="5F907A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E05AB"/>
    <w:multiLevelType w:val="hybridMultilevel"/>
    <w:tmpl w:val="269E06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35C8E"/>
    <w:multiLevelType w:val="hybridMultilevel"/>
    <w:tmpl w:val="0B2AA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B1599"/>
    <w:multiLevelType w:val="hybridMultilevel"/>
    <w:tmpl w:val="70B422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27859"/>
    <w:multiLevelType w:val="hybridMultilevel"/>
    <w:tmpl w:val="6EE81CBC"/>
    <w:lvl w:ilvl="0" w:tplc="5DE6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86E78"/>
    <w:multiLevelType w:val="hybridMultilevel"/>
    <w:tmpl w:val="60503B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B5271"/>
    <w:multiLevelType w:val="hybridMultilevel"/>
    <w:tmpl w:val="C0EEF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5EFC"/>
    <w:multiLevelType w:val="hybridMultilevel"/>
    <w:tmpl w:val="936887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B1AE3"/>
    <w:multiLevelType w:val="hybridMultilevel"/>
    <w:tmpl w:val="650CE9E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B27DE2"/>
    <w:multiLevelType w:val="hybridMultilevel"/>
    <w:tmpl w:val="520050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C24DD"/>
    <w:multiLevelType w:val="hybridMultilevel"/>
    <w:tmpl w:val="D988BC90"/>
    <w:lvl w:ilvl="0" w:tplc="5DE6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D5EA4"/>
    <w:multiLevelType w:val="hybridMultilevel"/>
    <w:tmpl w:val="0BF8997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59492C"/>
    <w:multiLevelType w:val="hybridMultilevel"/>
    <w:tmpl w:val="DEDC5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731FF5"/>
    <w:multiLevelType w:val="hybridMultilevel"/>
    <w:tmpl w:val="859C57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13E1E"/>
    <w:multiLevelType w:val="hybridMultilevel"/>
    <w:tmpl w:val="0F3002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23738"/>
    <w:multiLevelType w:val="hybridMultilevel"/>
    <w:tmpl w:val="1D3E5C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21F2A"/>
    <w:multiLevelType w:val="hybridMultilevel"/>
    <w:tmpl w:val="0FE29A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737A19"/>
    <w:multiLevelType w:val="hybridMultilevel"/>
    <w:tmpl w:val="DD1ADA7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7881FE4"/>
    <w:multiLevelType w:val="hybridMultilevel"/>
    <w:tmpl w:val="4A2044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F72D55"/>
    <w:multiLevelType w:val="hybridMultilevel"/>
    <w:tmpl w:val="C852767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9A241F"/>
    <w:multiLevelType w:val="hybridMultilevel"/>
    <w:tmpl w:val="03B215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D832E9"/>
    <w:multiLevelType w:val="hybridMultilevel"/>
    <w:tmpl w:val="9516EB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6DACCA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0A1179"/>
    <w:multiLevelType w:val="hybridMultilevel"/>
    <w:tmpl w:val="8DAA22B0"/>
    <w:lvl w:ilvl="0" w:tplc="5DE6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686CC2"/>
    <w:multiLevelType w:val="hybridMultilevel"/>
    <w:tmpl w:val="27460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DC0F72"/>
    <w:multiLevelType w:val="hybridMultilevel"/>
    <w:tmpl w:val="6D8856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24"/>
  </w:num>
  <w:num w:numId="5">
    <w:abstractNumId w:val="13"/>
  </w:num>
  <w:num w:numId="6">
    <w:abstractNumId w:val="2"/>
  </w:num>
  <w:num w:numId="7">
    <w:abstractNumId w:val="11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7"/>
  </w:num>
  <w:num w:numId="13">
    <w:abstractNumId w:val="21"/>
  </w:num>
  <w:num w:numId="14">
    <w:abstractNumId w:val="5"/>
  </w:num>
  <w:num w:numId="15">
    <w:abstractNumId w:val="20"/>
  </w:num>
  <w:num w:numId="16">
    <w:abstractNumId w:val="23"/>
  </w:num>
  <w:num w:numId="17">
    <w:abstractNumId w:val="14"/>
  </w:num>
  <w:num w:numId="18">
    <w:abstractNumId w:val="0"/>
  </w:num>
  <w:num w:numId="19">
    <w:abstractNumId w:val="1"/>
  </w:num>
  <w:num w:numId="20">
    <w:abstractNumId w:val="16"/>
  </w:num>
  <w:num w:numId="21">
    <w:abstractNumId w:val="22"/>
  </w:num>
  <w:num w:numId="22">
    <w:abstractNumId w:val="18"/>
  </w:num>
  <w:num w:numId="23">
    <w:abstractNumId w:val="4"/>
  </w:num>
  <w:num w:numId="24">
    <w:abstractNumId w:val="10"/>
  </w:num>
  <w:num w:numId="25">
    <w:abstractNumId w:val="15"/>
  </w:num>
  <w:num w:numId="26">
    <w:abstractNumId w:val="3"/>
  </w:num>
  <w:num w:numId="27">
    <w:abstractNumId w:val="9"/>
  </w:num>
  <w:num w:numId="28">
    <w:abstractNumId w:val="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C6C57"/>
    <w:rsid w:val="00041C2F"/>
    <w:rsid w:val="00074FA3"/>
    <w:rsid w:val="00221333"/>
    <w:rsid w:val="002B1D6C"/>
    <w:rsid w:val="002F6162"/>
    <w:rsid w:val="0030471B"/>
    <w:rsid w:val="00377EC9"/>
    <w:rsid w:val="00403B00"/>
    <w:rsid w:val="00431EE3"/>
    <w:rsid w:val="00544044"/>
    <w:rsid w:val="00601791"/>
    <w:rsid w:val="0089350F"/>
    <w:rsid w:val="00950F15"/>
    <w:rsid w:val="009A5AA8"/>
    <w:rsid w:val="00A22E9B"/>
    <w:rsid w:val="00A73AF1"/>
    <w:rsid w:val="00AE5E99"/>
    <w:rsid w:val="00B568DD"/>
    <w:rsid w:val="00B72DE2"/>
    <w:rsid w:val="00CF2831"/>
    <w:rsid w:val="00D079AA"/>
    <w:rsid w:val="00D43B4A"/>
    <w:rsid w:val="00DC6C57"/>
    <w:rsid w:val="00DF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83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83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3</cp:revision>
  <dcterms:created xsi:type="dcterms:W3CDTF">2019-09-13T09:35:00Z</dcterms:created>
  <dcterms:modified xsi:type="dcterms:W3CDTF">2020-09-27T14:10:00Z</dcterms:modified>
</cp:coreProperties>
</file>